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港島民生書院校友校董選舉程序</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u w:val="single"/>
        </w:rPr>
      </w:pPr>
      <w:r w:rsidDel="00000000" w:rsidR="00000000" w:rsidRPr="00000000">
        <w:rPr>
          <w:u w:val="single"/>
          <w:rtl w:val="0"/>
        </w:rPr>
        <w:t xml:space="preserve">前言</w:t>
      </w:r>
    </w:p>
    <w:p w:rsidR="00000000" w:rsidDel="00000000" w:rsidP="00000000" w:rsidRDefault="00000000" w:rsidRPr="00000000" w14:paraId="000000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港島民生書院於 2008年8月30日成立法團校董會。按教育局建議，該校董會應包括一名校友校董。</w:t>
      </w:r>
    </w:p>
    <w:p w:rsidR="00000000" w:rsidDel="00000000" w:rsidP="00000000" w:rsidRDefault="00000000" w:rsidRPr="00000000" w14:paraId="000000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sp7j9fr62ihc"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港島民生書院確認民生書院同學會港島屬會（下稱同學會）為認可的校友組織，並委托該會選出校友代表，加入校董會。校友校董的任期為兩年，由註冊為校董當日起計。按港島民生書院法團校董會章程規定，同一人士不可連續擔任校友校董超過兩屆。</w:t>
      </w:r>
    </w:p>
    <w:p w:rsidR="00000000" w:rsidDel="00000000" w:rsidP="00000000" w:rsidRDefault="00000000" w:rsidRPr="00000000" w14:paraId="000000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同學會訂定校友校董選舉程序，並定期檢討以完善有關安排。</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u w:val="single"/>
        </w:rPr>
      </w:pPr>
      <w:r w:rsidDel="00000000" w:rsidR="00000000" w:rsidRPr="00000000">
        <w:rPr>
          <w:u w:val="single"/>
          <w:rtl w:val="0"/>
        </w:rPr>
        <w:t xml:space="preserve">選舉主任及選舉委員會</w:t>
      </w:r>
    </w:p>
    <w:p w:rsidR="00000000" w:rsidDel="00000000" w:rsidP="00000000" w:rsidRDefault="00000000" w:rsidRPr="00000000" w14:paraId="000000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同學會執行委員會將委任主席或一名執行委員擔任選舉主任，負責監察有關提名及選舉等事宜。但選舉主任不可參選校友校董。選舉主任將籌組選舉委員會，經同學會委任，以協助其工作。</w:t>
      </w:r>
    </w:p>
    <w:p w:rsidR="00000000" w:rsidDel="00000000" w:rsidP="00000000" w:rsidRDefault="00000000" w:rsidRPr="00000000" w14:paraId="0000000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選舉主任及選舉委員會委員的任期，在校友校董選舉完成後自動終止。</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u w:val="single"/>
        </w:rPr>
      </w:pPr>
      <w:r w:rsidDel="00000000" w:rsidR="00000000" w:rsidRPr="00000000">
        <w:rPr>
          <w:u w:val="single"/>
          <w:rtl w:val="0"/>
        </w:rPr>
        <w:t xml:space="preserve">選舉通告</w:t>
      </w:r>
    </w:p>
    <w:p w:rsidR="00000000" w:rsidDel="00000000" w:rsidP="00000000" w:rsidRDefault="00000000" w:rsidRPr="00000000" w14:paraId="0000000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同學會將於選舉前六個星期透過郵件、電郵或網頁通知校友有關當屆校友校董選舉事宜，並在同學會網頁上公布有關詳情。</w:t>
      </w:r>
    </w:p>
    <w:p w:rsidR="00000000" w:rsidDel="00000000" w:rsidP="00000000" w:rsidRDefault="00000000" w:rsidRPr="00000000" w14:paraId="000000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有意參選的校友須經提名，成為候選人。選舉將於同學會周年大會或為此召開之特別會員大會中舉行。</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u w:val="single"/>
        </w:rPr>
      </w:pPr>
      <w:r w:rsidDel="00000000" w:rsidR="00000000" w:rsidRPr="00000000">
        <w:rPr>
          <w:u w:val="single"/>
          <w:rtl w:val="0"/>
        </w:rPr>
        <w:t xml:space="preserve">校友校董候選人資格</w:t>
      </w:r>
    </w:p>
    <w:p w:rsidR="00000000" w:rsidDel="00000000" w:rsidP="00000000" w:rsidRDefault="00000000" w:rsidRPr="00000000" w14:paraId="0000001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候選人必須為同學會永遠會員，並在選舉時已加入同學會三個月或以上。</w:t>
      </w:r>
    </w:p>
    <w:p w:rsidR="00000000" w:rsidDel="00000000" w:rsidP="00000000" w:rsidRDefault="00000000" w:rsidRPr="00000000" w14:paraId="000000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候選人須經五名，來自三個級社或以上的同學會會員提名。</w:t>
      </w:r>
    </w:p>
    <w:p w:rsidR="00000000" w:rsidDel="00000000" w:rsidP="00000000" w:rsidRDefault="00000000" w:rsidRPr="00000000" w14:paraId="0000001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每名同學會會員最多可提名一位候選人，如重複提名，則所有有關提名將作廢。</w:t>
      </w:r>
    </w:p>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如出現下列情況，有關校友便不能獲提名為校友校董候選人：</w:t>
      </w:r>
    </w:p>
    <w:p w:rsidR="00000000" w:rsidDel="00000000" w:rsidP="00000000" w:rsidRDefault="00000000" w:rsidRPr="00000000" w14:paraId="0000001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參選人是港島民生書院的在職教員（因為教員應循教員校董席位加入法團校董會）；或</w:t>
      </w:r>
    </w:p>
    <w:p w:rsidR="00000000" w:rsidDel="00000000" w:rsidP="00000000" w:rsidRDefault="00000000" w:rsidRPr="00000000" w14:paraId="0000001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參選人不符合《教育條例》第30條所載有關校董的註冊規定。（見附件一）</w:t>
      </w:r>
    </w:p>
    <w:p w:rsidR="00000000" w:rsidDel="00000000" w:rsidP="00000000" w:rsidRDefault="00000000" w:rsidRPr="00000000" w14:paraId="00000017">
      <w:pPr>
        <w:jc w:val="both"/>
        <w:rPr>
          <w:u w:val="single"/>
        </w:rPr>
      </w:pPr>
      <w:r w:rsidDel="00000000" w:rsidR="00000000" w:rsidRPr="00000000">
        <w:rPr>
          <w:u w:val="single"/>
          <w:rtl w:val="0"/>
        </w:rPr>
        <w:t xml:space="preserve">提名方法</w:t>
      </w:r>
    </w:p>
    <w:p w:rsidR="00000000" w:rsidDel="00000000" w:rsidP="00000000" w:rsidRDefault="00000000" w:rsidRPr="00000000" w14:paraId="000000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有意參選者請在同學會網站下載校友校董提名表格，填妥及簽署後在提名期結束前透過郵遞、速遞或親自交回同學會。參選人須在提名表格上，以不多於250字作簡介，內容包括簡歷、政綱等。並須在提名表中申報有否觸犯《教育條例》第30條所載有關常任秘書長可拒絕校董註冊的理由，以助投票人判斷參選者是否適合及適當的候選人。</w:t>
      </w:r>
    </w:p>
    <w:p w:rsidR="00000000" w:rsidDel="00000000" w:rsidP="00000000" w:rsidRDefault="00000000" w:rsidRPr="00000000" w14:paraId="000000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提名期由選舉及提名通告發出當天開始，為期兩個星期。</w:t>
      </w:r>
    </w:p>
    <w:p w:rsidR="00000000" w:rsidDel="00000000" w:rsidP="00000000" w:rsidRDefault="00000000" w:rsidRPr="00000000" w14:paraId="000000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提名表格須經同學會核實，參選人方可成為正式候選人。</w:t>
      </w:r>
    </w:p>
    <w:p w:rsidR="00000000" w:rsidDel="00000000" w:rsidP="00000000" w:rsidRDefault="00000000" w:rsidRPr="00000000" w14:paraId="000000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同學會在截止提名後的一個星期內，在同學會網頁公布合資格候選人名單，並上載每名合資格候選人的簡介。</w:t>
      </w:r>
    </w:p>
    <w:p w:rsidR="00000000" w:rsidDel="00000000" w:rsidP="00000000" w:rsidRDefault="00000000" w:rsidRPr="00000000" w14:paraId="000000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只有一名合資格候選人，該候選人將自動當選為校友校董，毋須進行投票，同學會將在截止提名後的一個星期內，在網頁公布是項結果。如有兩位或以上候選人，則仍會按選舉程序選出校友校董。如沒有人獲提名參選，同學會可延長提名截止日期或在一段合理的時間內重新進行選舉。</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u w:val="single"/>
        </w:rPr>
      </w:pPr>
      <w:r w:rsidDel="00000000" w:rsidR="00000000" w:rsidRPr="00000000">
        <w:rPr>
          <w:u w:val="single"/>
          <w:rtl w:val="0"/>
        </w:rPr>
        <w:t xml:space="preserve">撤銷提名</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如欲撤銷提名表格或退出選舉，候選人須以書面方式通知選舉主任和解釋退選理由。</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選舉主任須就退選事宜透過同學會網頁通知校友。</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jc w:val="both"/>
        <w:rPr>
          <w:u w:val="single"/>
        </w:rPr>
      </w:pPr>
      <w:r w:rsidDel="00000000" w:rsidR="00000000" w:rsidRPr="00000000">
        <w:rPr>
          <w:u w:val="single"/>
          <w:rtl w:val="0"/>
        </w:rPr>
        <w:t xml:space="preserve">投票人資格</w:t>
      </w:r>
    </w:p>
    <w:p w:rsidR="00000000" w:rsidDel="00000000" w:rsidP="00000000" w:rsidRDefault="00000000" w:rsidRPr="00000000" w14:paraId="0000002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投票人須為同學會會員，並在選舉時已加入同學會三個月或以上。</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u w:val="single"/>
        </w:rPr>
      </w:pPr>
      <w:r w:rsidDel="00000000" w:rsidR="00000000" w:rsidRPr="00000000">
        <w:rPr>
          <w:u w:val="single"/>
          <w:rtl w:val="0"/>
        </w:rPr>
        <w:t xml:space="preserve">選舉方法</w:t>
      </w:r>
    </w:p>
    <w:p w:rsidR="00000000" w:rsidDel="00000000" w:rsidP="00000000" w:rsidRDefault="00000000" w:rsidRPr="00000000" w14:paraId="0000002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選舉將於同學會周年會員大會或為此而召開之特別會員大會上以不記名投票方式選出校友校董。</w:t>
      </w:r>
    </w:p>
    <w:p w:rsidR="00000000" w:rsidDel="00000000" w:rsidP="00000000" w:rsidRDefault="00000000" w:rsidRPr="00000000" w14:paraId="000000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投票將以一人一票方式進行，得票最多者當選；若候選人得票相同，將以抽籤方式決定當選人。</w:t>
      </w:r>
    </w:p>
    <w:p w:rsidR="00000000" w:rsidDel="00000000" w:rsidP="00000000" w:rsidRDefault="00000000" w:rsidRPr="00000000" w14:paraId="000000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如會員大會出席人數未達會章的最低要求而流會，同學會將在一星期後召開續會，進行選舉。</w:t>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投票結束後，點票工作隨即進行，歡迎校友、各候選人及/或校方代表見證點票工作。</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u w:val="single"/>
        </w:rPr>
      </w:pPr>
      <w:r w:rsidDel="00000000" w:rsidR="00000000" w:rsidRPr="00000000">
        <w:rPr>
          <w:u w:val="single"/>
          <w:rtl w:val="0"/>
        </w:rPr>
        <w:t xml:space="preserve">公布結果</w:t>
      </w:r>
    </w:p>
    <w:p w:rsidR="00000000" w:rsidDel="00000000" w:rsidP="00000000" w:rsidRDefault="00000000" w:rsidRPr="00000000" w14:paraId="000000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選舉主任須在點票完成後公布點票和選舉結果。</w:t>
      </w:r>
    </w:p>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選舉完成後，同學會將在一星期內在網頁公布選舉結果。</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u w:val="single"/>
        </w:rPr>
      </w:pPr>
      <w:r w:rsidDel="00000000" w:rsidR="00000000" w:rsidRPr="00000000">
        <w:rPr>
          <w:u w:val="single"/>
          <w:rtl w:val="0"/>
        </w:rPr>
        <w:t xml:space="preserve">上訴機制</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落選者或其授權代表可在會員大會上點票後，即時作口頭上訴，並於</w:t>
      </w:r>
      <w:r w:rsidDel="00000000" w:rsidR="00000000" w:rsidRPr="00000000">
        <w:rPr>
          <w:rtl w:val="0"/>
        </w:rPr>
        <w:t xml:space="preserve">選舉結果公布的一星期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內以書面方式向同學會列明上訴的理由。同學會常務執行委員會將自行或委任獨立的專責小組委員會處理有關上訴，可作出如下其中一項決議：</w:t>
      </w:r>
    </w:p>
    <w:p w:rsidR="00000000" w:rsidDel="00000000" w:rsidP="00000000" w:rsidRDefault="00000000" w:rsidRPr="00000000" w14:paraId="0000003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基於上訴未能提出充分理由及証明，駁回上訴，維持原有選舉結果，並向校董會申報。</w:t>
      </w:r>
    </w:p>
    <w:p w:rsidR="00000000" w:rsidDel="00000000" w:rsidP="00000000" w:rsidRDefault="00000000" w:rsidRPr="00000000" w14:paraId="0000003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基於上訴具充分理由及証明，宣佈選舉結果無效，並重新選舉。</w:t>
      </w:r>
    </w:p>
    <w:p w:rsidR="00000000" w:rsidDel="00000000" w:rsidP="00000000" w:rsidRDefault="00000000" w:rsidRPr="00000000" w14:paraId="00000033">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34">
      <w:pPr>
        <w:jc w:val="both"/>
        <w:rPr>
          <w:u w:val="single"/>
        </w:rPr>
      </w:pPr>
      <w:r w:rsidDel="00000000" w:rsidR="00000000" w:rsidRPr="00000000">
        <w:rPr>
          <w:u w:val="single"/>
          <w:rtl w:val="0"/>
        </w:rPr>
        <w:t xml:space="preserve">選舉後跟進事項</w:t>
      </w:r>
    </w:p>
    <w:p w:rsidR="00000000" w:rsidDel="00000000" w:rsidP="00000000" w:rsidRDefault="00000000" w:rsidRPr="00000000" w14:paraId="000000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同學會須向法團校董會提名獲選的校友，出任港島民生書院的校友校董。其後，法團校董會須向教育局常任秘書長申請，將獲選的校友註冊為港島民生書院的校友校董。</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jc w:val="both"/>
        <w:rPr>
          <w:u w:val="single"/>
        </w:rPr>
      </w:pPr>
      <w:r w:rsidDel="00000000" w:rsidR="00000000" w:rsidRPr="00000000">
        <w:rPr>
          <w:u w:val="single"/>
          <w:rtl w:val="0"/>
        </w:rPr>
        <w:t xml:space="preserve">填補臨時空缺</w:t>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若校友校董在任期內離任，出現空缺，同學會須以同樣方式在三個月內進行補選，填補有關的空缺。補選校董的任期為原任校董的餘下任期。</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u w:val="single"/>
        </w:rPr>
      </w:pPr>
      <w:r w:rsidDel="00000000" w:rsidR="00000000" w:rsidRPr="00000000">
        <w:rPr>
          <w:u w:val="single"/>
          <w:rtl w:val="0"/>
        </w:rPr>
        <w:t xml:space="preserve">注意事項</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作為校友校董選舉的候選人或投票人，校友須留意載於（附件二）的道德操守、以確保選舉的公平。</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 完 ~</w:t>
      </w:r>
    </w:p>
    <w:p w:rsidR="00000000" w:rsidDel="00000000" w:rsidP="00000000" w:rsidRDefault="00000000" w:rsidRPr="00000000" w14:paraId="0000003E">
      <w:pPr>
        <w:widowControl w:val="1"/>
        <w:jc w:val="both"/>
        <w:rPr/>
      </w:pPr>
      <w:r w:rsidDel="00000000" w:rsidR="00000000" w:rsidRPr="00000000">
        <w:br w:type="page"/>
      </w:r>
      <w:r w:rsidDel="00000000" w:rsidR="00000000" w:rsidRPr="00000000">
        <w:rPr>
          <w:rtl w:val="0"/>
        </w:rPr>
      </w:r>
    </w:p>
    <w:p w:rsidR="00000000" w:rsidDel="00000000" w:rsidP="00000000" w:rsidRDefault="00000000" w:rsidRPr="00000000" w14:paraId="0000003F">
      <w:pPr>
        <w:jc w:val="right"/>
        <w:rPr/>
      </w:pPr>
      <w:r w:rsidDel="00000000" w:rsidR="00000000" w:rsidRPr="00000000">
        <w:rPr>
          <w:rtl w:val="0"/>
        </w:rPr>
        <w:t xml:space="preserve">附件一</w:t>
      </w:r>
    </w:p>
    <w:p w:rsidR="00000000" w:rsidDel="00000000" w:rsidP="00000000" w:rsidRDefault="00000000" w:rsidRPr="00000000" w14:paraId="00000040">
      <w:pPr>
        <w:jc w:val="center"/>
        <w:rPr>
          <w:b w:val="1"/>
          <w:u w:val="single"/>
        </w:rPr>
      </w:pPr>
      <w:r w:rsidDel="00000000" w:rsidR="00000000" w:rsidRPr="00000000">
        <w:rPr>
          <w:b w:val="1"/>
          <w:u w:val="single"/>
          <w:rtl w:val="0"/>
        </w:rPr>
        <w:t xml:space="preserve">《教育條例》</w:t>
      </w:r>
    </w:p>
    <w:p w:rsidR="00000000" w:rsidDel="00000000" w:rsidP="00000000" w:rsidRDefault="00000000" w:rsidRPr="00000000" w14:paraId="00000041">
      <w:pPr>
        <w:jc w:val="center"/>
        <w:rPr>
          <w:b w:val="1"/>
          <w:u w:val="single"/>
        </w:rPr>
      </w:pPr>
      <w:r w:rsidDel="00000000" w:rsidR="00000000" w:rsidRPr="00000000">
        <w:rPr>
          <w:b w:val="1"/>
          <w:u w:val="single"/>
          <w:rtl w:val="0"/>
        </w:rPr>
        <w:t xml:space="preserve">有關校友校董選舉的規定</w:t>
      </w:r>
    </w:p>
    <w:p w:rsidR="00000000" w:rsidDel="00000000" w:rsidP="00000000" w:rsidRDefault="00000000" w:rsidRPr="00000000" w14:paraId="00000042">
      <w:pPr>
        <w:jc w:val="both"/>
        <w:rPr/>
      </w:pPr>
      <w:r w:rsidDel="00000000" w:rsidR="00000000" w:rsidRPr="00000000">
        <w:rPr>
          <w:rtl w:val="0"/>
        </w:rPr>
      </w:r>
    </w:p>
    <w:tbl>
      <w:tblPr>
        <w:tblStyle w:val="Table1"/>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8647"/>
        <w:tblGridChange w:id="0">
          <w:tblGrid>
            <w:gridCol w:w="817"/>
            <w:gridCol w:w="8647"/>
          </w:tblGrid>
        </w:tblGridChange>
      </w:tblGrid>
      <w:tr>
        <w:trPr>
          <w:cantSplit w:val="0"/>
          <w:tblHeader w:val="0"/>
        </w:trPr>
        <w:tc>
          <w:tcPr/>
          <w:p w:rsidR="00000000" w:rsidDel="00000000" w:rsidP="00000000" w:rsidRDefault="00000000" w:rsidRPr="00000000" w14:paraId="00000043">
            <w:pPr>
              <w:jc w:val="center"/>
              <w:rPr>
                <w:b w:val="1"/>
                <w:u w:val="single"/>
              </w:rPr>
            </w:pPr>
            <w:r w:rsidDel="00000000" w:rsidR="00000000" w:rsidRPr="00000000">
              <w:rPr>
                <w:b w:val="1"/>
                <w:u w:val="single"/>
                <w:rtl w:val="0"/>
              </w:rPr>
              <w:t xml:space="preserve">規定</w:t>
            </w:r>
          </w:p>
        </w:tc>
        <w:tc>
          <w:tcPr/>
          <w:p w:rsidR="00000000" w:rsidDel="00000000" w:rsidP="00000000" w:rsidRDefault="00000000" w:rsidRPr="00000000" w14:paraId="00000044">
            <w:pPr>
              <w:jc w:val="center"/>
              <w:rPr>
                <w:b w:val="1"/>
                <w:u w:val="single"/>
              </w:rPr>
            </w:pPr>
            <w:r w:rsidDel="00000000" w:rsidR="00000000" w:rsidRPr="00000000">
              <w:rPr>
                <w:b w:val="1"/>
                <w:u w:val="single"/>
                <w:rtl w:val="0"/>
              </w:rPr>
              <w:t xml:space="preserve">內容</w:t>
            </w:r>
          </w:p>
        </w:tc>
      </w:tr>
      <w:tr>
        <w:trPr>
          <w:cantSplit w:val="0"/>
          <w:tblHeader w:val="0"/>
        </w:trPr>
        <w:tc>
          <w:tcPr/>
          <w:p w:rsidR="00000000" w:rsidDel="00000000" w:rsidP="00000000" w:rsidRDefault="00000000" w:rsidRPr="00000000" w14:paraId="00000045">
            <w:pPr>
              <w:jc w:val="both"/>
              <w:rPr/>
            </w:pPr>
            <w:r w:rsidDel="00000000" w:rsidR="00000000" w:rsidRPr="00000000">
              <w:rPr>
                <w:rtl w:val="0"/>
              </w:rPr>
              <w:t xml:space="preserve">30</w:t>
            </w:r>
          </w:p>
        </w:tc>
        <w:tc>
          <w:tcPr/>
          <w:p w:rsidR="00000000" w:rsidDel="00000000" w:rsidP="00000000" w:rsidRDefault="00000000" w:rsidRPr="00000000" w14:paraId="00000046">
            <w:pPr>
              <w:jc w:val="both"/>
              <w:rPr/>
            </w:pPr>
            <w:r w:rsidDel="00000000" w:rsidR="00000000" w:rsidRPr="00000000">
              <w:rPr>
                <w:rtl w:val="0"/>
              </w:rPr>
              <w:t xml:space="preserve">如常任秘書長覺得有以下情況，可拒絕申請人註冊為某間學校的校董─</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申請人每年最少有9 個月不在香港居住；</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申請人並非出任校董的適合及適當人選；</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申請人的准用教員許可證以前曾被取消；</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申請人未滿18歲；</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申請人年滿70歲而無法出示有效的醫生證明書，以證明他在健康方面適合執行校董的職能；</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申請人未滿70歲，而他在常任秘書長提出要求後，無法出示有效的醫生證明書，以證明他在健康方面適合執行校董的職能；</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申請人在提出以下任何申請時，即─</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學校註冊；</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註冊為校董或教員；或</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僱用校內准用教員，</w:t>
            </w:r>
          </w:p>
          <w:p w:rsidR="00000000" w:rsidDel="00000000" w:rsidP="00000000" w:rsidRDefault="00000000" w:rsidRPr="00000000" w14:paraId="00000051">
            <w:pPr>
              <w:ind w:left="480" w:firstLine="0"/>
              <w:jc w:val="both"/>
              <w:rPr/>
            </w:pPr>
            <w:r w:rsidDel="00000000" w:rsidR="00000000" w:rsidRPr="00000000">
              <w:rPr>
                <w:rtl w:val="0"/>
              </w:rPr>
              <w:t xml:space="preserve">或在與該等申請有關的事項中，作出虛假的陳述或提供虛假的資料，或因在要項上有所遺漏而屬虛假；</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申請人是《破產條例》</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第6章</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所指的破產人，或已根據該條例訂立自願安排；</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申請人曾在香港或其他地方被裁定已犯可判</w:t>
            </w:r>
            <w:r w:rsidDel="00000000" w:rsidR="00000000" w:rsidRPr="00000000">
              <w:rPr>
                <w:rtl w:val="0"/>
              </w:rPr>
              <w:t xml:space="preserve">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監禁的刑事罪行；或</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申請人已註冊為五間或以上的學校校董。</w:t>
            </w:r>
          </w:p>
        </w:tc>
      </w:tr>
      <w:tr>
        <w:trPr>
          <w:cantSplit w:val="0"/>
          <w:tblHeader w:val="0"/>
        </w:trPr>
        <w:tc>
          <w:tcPr/>
          <w:p w:rsidR="00000000" w:rsidDel="00000000" w:rsidP="00000000" w:rsidRDefault="00000000" w:rsidRPr="00000000" w14:paraId="00000055">
            <w:pPr>
              <w:jc w:val="both"/>
              <w:rPr/>
            </w:pPr>
            <w:r w:rsidDel="00000000" w:rsidR="00000000" w:rsidRPr="00000000">
              <w:rPr>
                <w:rtl w:val="0"/>
              </w:rPr>
              <w:t xml:space="preserve">40AL</w:t>
            </w:r>
          </w:p>
        </w:tc>
        <w:tc>
          <w:tcPr/>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設有法團校董會的學校須設有最少一名校友校董。</w:t>
            </w:r>
          </w:p>
        </w:tc>
      </w:tr>
      <w:tr>
        <w:trPr>
          <w:cantSplit w:val="0"/>
          <w:tblHeader w:val="0"/>
        </w:trPr>
        <w:tc>
          <w:tcPr/>
          <w:p w:rsidR="00000000" w:rsidDel="00000000" w:rsidP="00000000" w:rsidRDefault="00000000" w:rsidRPr="00000000" w14:paraId="00000057">
            <w:pPr>
              <w:jc w:val="both"/>
              <w:rPr/>
            </w:pPr>
            <w:r w:rsidDel="00000000" w:rsidR="00000000" w:rsidRPr="00000000">
              <w:rPr>
                <w:rtl w:val="0"/>
              </w:rPr>
              <w:t xml:space="preserve">40AP</w:t>
            </w:r>
          </w:p>
        </w:tc>
        <w:tc>
          <w:tcPr/>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如學校屬上下午班制，法團校董會或辦學團體（視乎法團校董會章程的規定而定）可為上、下午班各認可一個校友會。</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法團校董會或辦學團體可承認一個團體為認可的校友會，惟其章程必須列明下述的事項，方能獲認可－</w:t>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該校的所有校友均可成為其會員；</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只有該校的校友可選出或成為該會的幹事；及</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20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選舉制度是公平及開放透明的。</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認可校友會可提名有關學校的法團校董會的章程所規定數目的人士，註冊為校友校董。</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w:t>
            </w:r>
            <w:r w:rsidDel="00000000" w:rsidR="00000000" w:rsidRPr="00000000">
              <w:rPr>
                <w:rtl w:val="0"/>
              </w:rPr>
              <w:t xml:space="preserve">認可校友會沒有校友校董的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提名，法團校董會可提名其章程所規定數目的人士，註冊為校友校董。</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候選人必須是該校的校友。</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候選人不得是該校的教員。</w:t>
            </w:r>
          </w:p>
        </w:tc>
      </w:tr>
      <w:tr>
        <w:trPr>
          <w:cantSplit w:val="0"/>
          <w:tblHeader w:val="0"/>
        </w:trPr>
        <w:tc>
          <w:tcPr/>
          <w:p w:rsidR="00000000" w:rsidDel="00000000" w:rsidP="00000000" w:rsidRDefault="00000000" w:rsidRPr="00000000" w14:paraId="00000061">
            <w:pPr>
              <w:jc w:val="both"/>
              <w:rPr/>
            </w:pPr>
            <w:r w:rsidDel="00000000" w:rsidR="00000000" w:rsidRPr="00000000">
              <w:rPr>
                <w:rtl w:val="0"/>
              </w:rPr>
              <w:t xml:space="preserve">40AU</w:t>
            </w:r>
          </w:p>
        </w:tc>
        <w:tc>
          <w:tcPr/>
          <w:p w:rsidR="00000000" w:rsidDel="00000000" w:rsidP="00000000" w:rsidRDefault="00000000" w:rsidRPr="00000000" w14:paraId="000000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填補校友校董空缺人士的提名方式必須與《教育條例》第 40AP 條規定 的提名方式相同。</w:t>
            </w:r>
          </w:p>
        </w:tc>
      </w:tr>
      <w:tr>
        <w:trPr>
          <w:cantSplit w:val="0"/>
          <w:tblHeader w:val="0"/>
        </w:trPr>
        <w:tc>
          <w:tcPr/>
          <w:p w:rsidR="00000000" w:rsidDel="00000000" w:rsidP="00000000" w:rsidRDefault="00000000" w:rsidRPr="00000000" w14:paraId="00000063">
            <w:pPr>
              <w:jc w:val="both"/>
              <w:rPr/>
            </w:pPr>
            <w:r w:rsidDel="00000000" w:rsidR="00000000" w:rsidRPr="00000000">
              <w:rPr>
                <w:rtl w:val="0"/>
              </w:rPr>
              <w:t xml:space="preserve">40AX</w:t>
            </w:r>
          </w:p>
        </w:tc>
        <w:tc>
          <w:tcPr/>
          <w:p w:rsidR="00000000" w:rsidDel="00000000" w:rsidP="00000000" w:rsidRDefault="00000000" w:rsidRPr="00000000" w14:paraId="000000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學校的認可校友會認為某校友校董不適宜繼續擔任校董，可用類似選出該校董的方式通過決議，向法團校董會提出書面要求，取消該校友校董的註冊。當接獲有關要求後，法團校董會須向常任秘書長發出書面通知，要求取消該名校友校董的註冊。</w:t>
            </w:r>
          </w:p>
        </w:tc>
      </w:tr>
    </w:tbl>
    <w:p w:rsidR="00000000" w:rsidDel="00000000" w:rsidP="00000000" w:rsidRDefault="00000000" w:rsidRPr="00000000" w14:paraId="00000065">
      <w:pPr>
        <w:widowControl w:val="1"/>
        <w:jc w:val="both"/>
        <w:rPr/>
      </w:pPr>
      <w:r w:rsidDel="00000000" w:rsidR="00000000" w:rsidRPr="00000000">
        <w:br w:type="page"/>
      </w:r>
      <w:r w:rsidDel="00000000" w:rsidR="00000000" w:rsidRPr="00000000">
        <w:rPr>
          <w:rtl w:val="0"/>
        </w:rPr>
      </w:r>
    </w:p>
    <w:p w:rsidR="00000000" w:rsidDel="00000000" w:rsidP="00000000" w:rsidRDefault="00000000" w:rsidRPr="00000000" w14:paraId="00000066">
      <w:pPr>
        <w:jc w:val="right"/>
        <w:rPr/>
      </w:pPr>
      <w:r w:rsidDel="00000000" w:rsidR="00000000" w:rsidRPr="00000000">
        <w:rPr>
          <w:rtl w:val="0"/>
        </w:rPr>
        <w:t xml:space="preserve">附件二</w:t>
      </w:r>
    </w:p>
    <w:p w:rsidR="00000000" w:rsidDel="00000000" w:rsidP="00000000" w:rsidRDefault="00000000" w:rsidRPr="00000000" w14:paraId="00000067">
      <w:pPr>
        <w:jc w:val="both"/>
        <w:rPr>
          <w:b w:val="1"/>
          <w:u w:val="single"/>
        </w:rPr>
      </w:pPr>
      <w:r w:rsidDel="00000000" w:rsidR="00000000" w:rsidRPr="00000000">
        <w:rPr>
          <w:b w:val="1"/>
          <w:u w:val="single"/>
          <w:rtl w:val="0"/>
        </w:rPr>
        <w:t xml:space="preserve">校友校董選舉中須留意的道德操守</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u w:val="single"/>
        </w:rPr>
      </w:pPr>
      <w:r w:rsidDel="00000000" w:rsidR="00000000" w:rsidRPr="00000000">
        <w:rPr>
          <w:u w:val="single"/>
          <w:rtl w:val="0"/>
        </w:rPr>
        <w:t xml:space="preserve">候選人的提名</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不得提供利益令任何人參選或不參選。</w:t>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不得提供利益令任何已獲提名的候選人退出競選。</w:t>
      </w:r>
    </w:p>
    <w:p w:rsidR="00000000" w:rsidDel="00000000" w:rsidP="00000000" w:rsidRDefault="00000000" w:rsidRPr="00000000" w14:paraId="0000006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不得提供利益令任何候選人不盡最大努力促使其本人當選。</w:t>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不得索取或接受任何人的利益而參選或不參選。</w:t>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不得索取或接受任何人的利益，而在獲提名為候選人後退出競選。</w:t>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不得索取或接受任何人的利益，而不盡最大努力促使其本人當選。</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不得施用或威脅施用武力或脅迫手段令任何人參選或不參選，或退出競選。</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不得以欺騙手段令任何人參選或不參選或退出競選。</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u w:val="single"/>
        </w:rPr>
      </w:pPr>
      <w:r w:rsidDel="00000000" w:rsidR="00000000" w:rsidRPr="00000000">
        <w:rPr>
          <w:u w:val="single"/>
          <w:rtl w:val="0"/>
        </w:rPr>
        <w:t xml:space="preserve">競選活動</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不得發表包括（但不限於）候選人的品格、資歷或以往的行為的虛假或具誤導性達關鍵程度的陳述。</w:t>
      </w:r>
    </w:p>
    <w:p w:rsidR="00000000" w:rsidDel="00000000" w:rsidP="00000000" w:rsidRDefault="00000000" w:rsidRPr="00000000" w14:paraId="0000007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不得參與任何可能引致批評或指稱不適當的活動，並須遵守選舉的公平原則。</w:t>
      </w:r>
    </w:p>
    <w:p w:rsidR="00000000" w:rsidDel="00000000" w:rsidP="00000000" w:rsidRDefault="00000000" w:rsidRPr="00000000" w14:paraId="0000007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不得在任何競選活動中，特別是在競選刊物中聲稱或暗示獲得任何人士或機構支持，除非已得到該名人士或機構的書面同意。</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u w:val="single"/>
        </w:rPr>
      </w:pPr>
      <w:r w:rsidDel="00000000" w:rsidR="00000000" w:rsidRPr="00000000">
        <w:rPr>
          <w:u w:val="single"/>
          <w:rtl w:val="0"/>
        </w:rPr>
        <w:t xml:space="preserve">投票</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不得提供利益，令他人在選舉中不投票。</w:t>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不得提供利益，令他人在選舉中投票或不投票予某候選人。</w:t>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不得提供食物、飲料或娛樂，或償付用於提供該等食物、飲料或娛樂的費用，以影響他人在選舉中不投票。</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不得提供食物、飲料或娛樂，或償付用於提供該等食物、飲料或娛樂的費用，以影響他人在選舉中投票或不投票予某候選人。</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不得向任何人施用或威脅施用武力或脅迫手段，以影響他人的投票決定。</w:t>
      </w:r>
    </w:p>
    <w:p w:rsidR="00000000" w:rsidDel="00000000" w:rsidP="00000000" w:rsidRDefault="00000000" w:rsidRPr="00000000" w14:paraId="000000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不得以欺騙手段誘使他人在選舉中不投票。</w:t>
      </w:r>
    </w:p>
    <w:p w:rsidR="00000000" w:rsidDel="00000000" w:rsidP="00000000" w:rsidRDefault="00000000" w:rsidRPr="00000000" w14:paraId="000000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不得以欺騙手段誘使他人在選舉中投票或不投票予某候選人。</w:t>
      </w:r>
    </w:p>
    <w:sectPr>
      <w:headerReference r:id="rId7" w:type="default"/>
      <w:footerReference r:id="rId8" w:type="default"/>
      <w:pgSz w:h="16838" w:w="11906" w:orient="portrait"/>
      <w:pgMar w:bottom="1440" w:top="1440" w:left="1440" w:right="1440"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年6月</w:t>
    </w:r>
    <w:r w:rsidDel="00000000" w:rsidR="00000000" w:rsidRPr="00000000">
      <w:rPr>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日版本)</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sz w:val="16"/>
        <w:szCs w:val="16"/>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lowerRoman"/>
      <w:lvlText w:val="(%1)"/>
      <w:lvlJc w:val="left"/>
      <w:pPr>
        <w:ind w:left="1200" w:hanging="72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3">
    <w:lvl w:ilvl="0">
      <w:start w:val="1"/>
      <w:numFmt w:val="bullet"/>
      <w:lvlText w:val="●"/>
      <w:lvlJc w:val="left"/>
      <w:pPr>
        <w:ind w:left="480" w:hanging="480"/>
      </w:pPr>
      <w:rPr>
        <w:rFonts w:ascii="Noto Sans Symbols" w:cs="Noto Sans Symbols" w:eastAsia="Noto Sans Symbols" w:hAnsi="Noto Sans Symbols"/>
        <w:sz w:val="16"/>
        <w:szCs w:val="16"/>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bullet"/>
      <w:lvlText w:val="●"/>
      <w:lvlJc w:val="left"/>
      <w:pPr>
        <w:ind w:left="480" w:hanging="480"/>
      </w:pPr>
      <w:rPr>
        <w:rFonts w:ascii="Noto Sans Symbols" w:cs="Noto Sans Symbols" w:eastAsia="Noto Sans Symbols" w:hAnsi="Noto Sans Symbols"/>
        <w:sz w:val="16"/>
        <w:szCs w:val="16"/>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lowerRoman"/>
      <w:lvlText w:val="(%1)"/>
      <w:lvlJc w:val="left"/>
      <w:pPr>
        <w:ind w:left="1200" w:hanging="720"/>
      </w:pPr>
      <w:rPr/>
    </w:lvl>
    <w:lvl w:ilvl="1">
      <w:start w:val="1"/>
      <w:numFmt w:val="decimal"/>
      <w:lvlText w:val="%2."/>
      <w:lvlJc w:val="left"/>
      <w:pPr>
        <w:ind w:left="1320" w:hanging="36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6">
    <w:lvl w:ilvl="0">
      <w:start w:val="1"/>
      <w:numFmt w:val="bullet"/>
      <w:lvlText w:val="●"/>
      <w:lvlJc w:val="left"/>
      <w:pPr>
        <w:ind w:left="480" w:hanging="480"/>
      </w:pPr>
      <w:rPr>
        <w:rFonts w:ascii="Noto Sans Symbols" w:cs="Noto Sans Symbols" w:eastAsia="Noto Sans Symbols" w:hAnsi="Noto Sans Symbols"/>
        <w:sz w:val="16"/>
        <w:szCs w:val="16"/>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7">
    <w:lvl w:ilvl="0">
      <w:start w:val="1"/>
      <w:numFmt w:val="bullet"/>
      <w:lvlText w:val="●"/>
      <w:lvlJc w:val="left"/>
      <w:pPr>
        <w:ind w:left="480" w:hanging="480"/>
      </w:pPr>
      <w:rPr>
        <w:rFonts w:ascii="Noto Sans Symbols" w:cs="Noto Sans Symbols" w:eastAsia="Noto Sans Symbols" w:hAnsi="Noto Sans Symbols"/>
        <w:sz w:val="16"/>
        <w:szCs w:val="16"/>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8">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1"/>
      <w:numFmt w:val="decimal"/>
      <w:lvlText w:val="%1."/>
      <w:lvlJc w:val="left"/>
      <w:pPr>
        <w:ind w:left="360" w:hanging="360"/>
      </w:pPr>
      <w:rPr/>
    </w:lvl>
    <w:lvl w:ilvl="1">
      <w:start w:val="1"/>
      <w:numFmt w:val="lowerRoman"/>
      <w:lvlText w:val="%2."/>
      <w:lvlJc w:val="left"/>
      <w:pPr>
        <w:ind w:left="1200" w:hanging="72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rPr>
      <w:lang w:val="en-HK"/>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371993"/>
    <w:pPr>
      <w:ind w:left="480" w:leftChars="200"/>
    </w:pPr>
  </w:style>
  <w:style w:type="table" w:styleId="a4">
    <w:name w:val="Table Grid"/>
    <w:basedOn w:val="a1"/>
    <w:uiPriority w:val="59"/>
    <w:rsid w:val="00B9349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4134DB"/>
    <w:pPr>
      <w:tabs>
        <w:tab w:val="center" w:pos="4153"/>
        <w:tab w:val="right" w:pos="8306"/>
      </w:tabs>
      <w:snapToGrid w:val="0"/>
    </w:pPr>
    <w:rPr>
      <w:sz w:val="20"/>
      <w:szCs w:val="20"/>
    </w:rPr>
  </w:style>
  <w:style w:type="character" w:styleId="a6" w:customStyle="1">
    <w:name w:val="頁首 字元"/>
    <w:basedOn w:val="a0"/>
    <w:link w:val="a5"/>
    <w:uiPriority w:val="99"/>
    <w:rsid w:val="004134DB"/>
    <w:rPr>
      <w:sz w:val="20"/>
      <w:szCs w:val="20"/>
      <w:lang w:val="en-HK"/>
    </w:rPr>
  </w:style>
  <w:style w:type="paragraph" w:styleId="a7">
    <w:name w:val="footer"/>
    <w:basedOn w:val="a"/>
    <w:link w:val="a8"/>
    <w:uiPriority w:val="99"/>
    <w:unhideWhenUsed w:val="1"/>
    <w:rsid w:val="004134DB"/>
    <w:pPr>
      <w:tabs>
        <w:tab w:val="center" w:pos="4153"/>
        <w:tab w:val="right" w:pos="8306"/>
      </w:tabs>
      <w:snapToGrid w:val="0"/>
    </w:pPr>
    <w:rPr>
      <w:sz w:val="20"/>
      <w:szCs w:val="20"/>
    </w:rPr>
  </w:style>
  <w:style w:type="character" w:styleId="a8" w:customStyle="1">
    <w:name w:val="頁尾 字元"/>
    <w:basedOn w:val="a0"/>
    <w:link w:val="a7"/>
    <w:uiPriority w:val="99"/>
    <w:rsid w:val="004134DB"/>
    <w:rPr>
      <w:sz w:val="20"/>
      <w:szCs w:val="20"/>
      <w:lang w:val="en-HK"/>
    </w:rPr>
  </w:style>
  <w:style w:type="paragraph" w:styleId="a9">
    <w:name w:val="Balloon Text"/>
    <w:basedOn w:val="a"/>
    <w:link w:val="aa"/>
    <w:uiPriority w:val="99"/>
    <w:semiHidden w:val="1"/>
    <w:unhideWhenUsed w:val="1"/>
    <w:rsid w:val="009E326C"/>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9E326C"/>
    <w:rPr>
      <w:rFonts w:asciiTheme="majorHAnsi" w:cstheme="majorBidi" w:eastAsiaTheme="majorEastAsia" w:hAnsiTheme="majorHAnsi"/>
      <w:sz w:val="18"/>
      <w:szCs w:val="18"/>
      <w:lang w:val="en-H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2dBrlZt940eriie8Yl3aUWs1g==">CgMxLjAyDmguc3A3ajlmcjYyaWhjOAByITF4cFZ2MVd4TEdRbWU1anktYld3ZWdybk9QT1NTRjRxZg==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2023-05-31T11:31:00Z</dcterms:created>
  <dc:creator>Esther Chiu</dc:creator>
</cp:coreProperties>
</file>